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6A96F" w14:textId="2610661A" w:rsidR="00FC4E6F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u w:val="single" w:color="000000"/>
        </w:rPr>
      </w:pPr>
      <w:r w:rsidRPr="00AA6B3F">
        <w:rPr>
          <w:rFonts w:ascii="Arial" w:eastAsia="Arial" w:hAnsi="Arial" w:cs="Arial"/>
          <w:b/>
          <w:u w:val="single" w:color="000000"/>
        </w:rPr>
        <w:t xml:space="preserve">Załącznik nr </w:t>
      </w:r>
      <w:r w:rsidR="004C05E4">
        <w:rPr>
          <w:rFonts w:ascii="Arial" w:eastAsia="Arial" w:hAnsi="Arial" w:cs="Arial"/>
          <w:b/>
          <w:u w:val="single" w:color="000000"/>
        </w:rPr>
        <w:t>3</w:t>
      </w:r>
      <w:r w:rsidR="00AA6B3F">
        <w:rPr>
          <w:rFonts w:ascii="Arial" w:eastAsia="Arial" w:hAnsi="Arial" w:cs="Arial"/>
          <w:b/>
          <w:u w:val="single" w:color="000000"/>
        </w:rPr>
        <w:t>.0</w:t>
      </w:r>
      <w:r w:rsidRPr="00AA6B3F">
        <w:rPr>
          <w:rFonts w:ascii="Arial" w:eastAsia="Arial" w:hAnsi="Arial" w:cs="Arial"/>
          <w:b/>
          <w:u w:val="single" w:color="000000"/>
        </w:rPr>
        <w:t xml:space="preserve"> </w:t>
      </w:r>
      <w:r w:rsidR="00DE4F77" w:rsidRPr="00DE4F77">
        <w:rPr>
          <w:rFonts w:ascii="Arial" w:eastAsia="Arial" w:hAnsi="Arial" w:cs="Arial"/>
          <w:b/>
          <w:u w:val="single" w:color="000000"/>
        </w:rPr>
        <w:t xml:space="preserve">do Umowy nr </w:t>
      </w:r>
      <w:r w:rsidR="00DE4F77" w:rsidRPr="00DE4F77">
        <w:rPr>
          <w:rFonts w:ascii="Arial" w:eastAsia="Arial" w:hAnsi="Arial" w:cs="Arial"/>
          <w:b/>
          <w:highlight w:val="yellow"/>
          <w:u w:val="single" w:color="000000"/>
        </w:rPr>
        <w:t>[…]</w:t>
      </w:r>
    </w:p>
    <w:p w14:paraId="566ED819" w14:textId="77777777" w:rsidR="00DE17FB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</w:rPr>
      </w:pPr>
      <w:r w:rsidRPr="00AA6B3F">
        <w:rPr>
          <w:rFonts w:ascii="Arial" w:eastAsia="Arial" w:hAnsi="Arial" w:cs="Arial"/>
          <w:b/>
        </w:rPr>
        <w:t>L</w:t>
      </w:r>
      <w:r w:rsidR="00DE17FB" w:rsidRPr="00AA6B3F">
        <w:rPr>
          <w:rFonts w:ascii="Arial" w:eastAsia="Arial" w:hAnsi="Arial" w:cs="Arial"/>
          <w:b/>
        </w:rPr>
        <w:t>inie komunikacyjne objęte Umową</w:t>
      </w:r>
    </w:p>
    <w:p w14:paraId="75650993" w14:textId="77777777" w:rsidR="00DE17FB" w:rsidRPr="00AA6B3F" w:rsidRDefault="00DE17FB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sz w:val="20"/>
        </w:rPr>
      </w:pPr>
    </w:p>
    <w:tbl>
      <w:tblPr>
        <w:tblStyle w:val="TableGrid"/>
        <w:tblW w:w="13811" w:type="dxa"/>
        <w:tblInd w:w="76" w:type="dxa"/>
        <w:tblCellMar>
          <w:top w:w="74" w:type="dxa"/>
          <w:right w:w="63" w:type="dxa"/>
        </w:tblCellMar>
        <w:tblLook w:val="04A0" w:firstRow="1" w:lastRow="0" w:firstColumn="1" w:lastColumn="0" w:noHBand="0" w:noVBand="1"/>
      </w:tblPr>
      <w:tblGrid>
        <w:gridCol w:w="577"/>
        <w:gridCol w:w="1174"/>
        <w:gridCol w:w="1137"/>
        <w:gridCol w:w="1798"/>
        <w:gridCol w:w="5120"/>
        <w:gridCol w:w="4005"/>
      </w:tblGrid>
      <w:tr w:rsidR="00953960" w:rsidRPr="00AA6B3F" w14:paraId="6F7C8FF0" w14:textId="77777777" w:rsidTr="00022D3D">
        <w:trPr>
          <w:cantSplit/>
          <w:trHeight w:val="111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02D4C15" w14:textId="77777777" w:rsidR="005A5594" w:rsidRPr="00AA6B3F" w:rsidRDefault="005A5594">
            <w:pPr>
              <w:ind w:left="140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24CC88E3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Linia</w:t>
            </w:r>
          </w:p>
          <w:p w14:paraId="55AC3C56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Komunikacyjna</w:t>
            </w:r>
            <w:r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4B93A135" w14:textId="77777777" w:rsidR="005A5594" w:rsidRPr="00AA6B3F" w:rsidRDefault="005A5594" w:rsidP="00BE08C4">
            <w:pPr>
              <w:ind w:left="20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Nr linii kolejowej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99C52A8" w14:textId="77777777" w:rsidR="005A5594" w:rsidRPr="00AA6B3F" w:rsidRDefault="005A5594">
            <w:pPr>
              <w:ind w:left="127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Relacja/część relacji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D1BE027" w14:textId="77777777" w:rsidR="005A5594" w:rsidRPr="00AA6B3F" w:rsidRDefault="005A5594">
            <w:pPr>
              <w:spacing w:after="39"/>
              <w:ind w:left="5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Obszar realizacji </w:t>
            </w:r>
          </w:p>
          <w:p w14:paraId="31733261" w14:textId="77777777" w:rsidR="005A5594" w:rsidRPr="00AA6B3F" w:rsidRDefault="005A559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Przewozów oraz stacje pośrednie 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B60709B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Ryzyka związane z realizacją przewozów</w:t>
            </w:r>
          </w:p>
          <w:p w14:paraId="2DCCBB15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1E721" w14:textId="77777777" w:rsidR="005A5594" w:rsidRPr="00AA6B3F" w:rsidRDefault="005A5594" w:rsidP="005250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Możliwe zmiany planowanej pracy eksploatacyjnej w</w:t>
            </w:r>
            <w:bookmarkStart w:id="0" w:name="_GoBack"/>
            <w:bookmarkEnd w:id="0"/>
            <w:r w:rsidRPr="00AA6B3F">
              <w:rPr>
                <w:rFonts w:ascii="Arial" w:hAnsi="Arial" w:cs="Arial"/>
                <w:b/>
                <w:sz w:val="16"/>
                <w:szCs w:val="16"/>
              </w:rPr>
              <w:t xml:space="preserve"> trakcie realizacji Umowy</w:t>
            </w:r>
            <w:r w:rsidR="000F43BA" w:rsidRPr="00AA6B3F">
              <w:rPr>
                <w:rFonts w:ascii="Arial" w:hAnsi="Arial" w:cs="Arial"/>
                <w:b/>
                <w:sz w:val="16"/>
                <w:szCs w:val="16"/>
              </w:rPr>
              <w:t xml:space="preserve"> wskazane przez Zarządcę Infrastruktury</w:t>
            </w:r>
            <w:r w:rsidR="00DC1555"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022D3D" w:rsidRPr="00AA6B3F" w14:paraId="05F39C59" w14:textId="77777777" w:rsidTr="00022D3D">
        <w:trPr>
          <w:trHeight w:val="10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078F" w14:textId="3F8A82D3" w:rsidR="00022D3D" w:rsidRPr="00AA6B3F" w:rsidRDefault="00503F2A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 w:rsidR="00022D3D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F6C2" w14:textId="77777777" w:rsidR="00022D3D" w:rsidRPr="00AA6B3F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230E" w14:textId="77777777" w:rsidR="00022D3D" w:rsidRPr="00AA6B3F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9ADD" w14:textId="77777777" w:rsidR="00022D3D" w:rsidRPr="00AA6B3F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(Grudziądz –) Gardeja – Kwidzyn – Malbork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F4C3" w14:textId="77777777" w:rsidR="00022D3D" w:rsidRPr="00AA6B3F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Grudziądz, Grudziądz Tuszewo, Grudziądz Owczarki, Rogóźno Pomorskie, Gardeja, Dziwno, Sadlinki, Kwidzyn, Brachlewo, Ryjewo, Sztumska Wieś, Sztum, Gościszewo, Malbork. 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CD03" w14:textId="77777777" w:rsidR="00022D3D" w:rsidRPr="00AA6B3F" w:rsidRDefault="00022D3D" w:rsidP="00022D3D">
            <w:pPr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</w:tr>
      <w:tr w:rsidR="00503F2A" w:rsidRPr="00AA6B3F" w14:paraId="3EAB2D96" w14:textId="77777777" w:rsidTr="00022D3D">
        <w:trPr>
          <w:trHeight w:val="10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6C24" w14:textId="370DE63E" w:rsidR="00503F2A" w:rsidRDefault="00503F2A" w:rsidP="00503F2A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98F7" w14:textId="38483FE3" w:rsidR="00503F2A" w:rsidRPr="00AA6B3F" w:rsidRDefault="00503F2A" w:rsidP="00503F2A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072F" w14:textId="46C7B684" w:rsidR="00503F2A" w:rsidRPr="00AA6B3F" w:rsidRDefault="00503F2A" w:rsidP="00503F2A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204, 9, 202, 260.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B1A1" w14:textId="77777777" w:rsidR="00503F2A" w:rsidRPr="00AA6B3F" w:rsidRDefault="00503F2A" w:rsidP="00503F2A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Elbląg – Malbork – Tczew – Gdańsk Główny – Gdynia Główna</w:t>
            </w:r>
          </w:p>
          <w:p w14:paraId="01856C8C" w14:textId="19F858DD" w:rsidR="00503F2A" w:rsidRPr="00AA6B3F" w:rsidRDefault="00503F2A" w:rsidP="00503F2A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/Gdynia Chylonia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DB7F" w14:textId="6775D500" w:rsidR="00503F2A" w:rsidRPr="00AA6B3F" w:rsidRDefault="00503F2A" w:rsidP="00503F2A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Elbląg, Gronowo Elbląskie, Fiszewo, Stare Pole, Królewo Malborskie, Malbork, Malbork Kałdowo, Stogi Malborskie, Szymankowo, Lisewo, 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Pszczółki, Skowarcz, Różyny, Cieplewo, Pruszcz Gdański, Gdańsk Lipce, Gdańsk Orunia, Gdańsk Główny, Gdańsk Wrzeszcz, Gdańsk Oliwa, Sopot, Gdynia Orłowo, Gdynia Główna, Gdynia Chylonia.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9086" w14:textId="2E793C1D" w:rsidR="00503F2A" w:rsidRPr="00AA6B3F" w:rsidRDefault="00503F2A" w:rsidP="00503F2A">
            <w:pPr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Południe, prace związane z poprawą dostępności do portów.</w:t>
            </w:r>
          </w:p>
        </w:tc>
      </w:tr>
    </w:tbl>
    <w:p w14:paraId="46C1711F" w14:textId="0F9AF98A" w:rsidR="00810BD8" w:rsidRPr="00AA6B3F" w:rsidRDefault="00810BD8" w:rsidP="00E46DE7">
      <w:pPr>
        <w:spacing w:after="241" w:line="291" w:lineRule="auto"/>
        <w:rPr>
          <w:rFonts w:ascii="Arial" w:hAnsi="Arial" w:cs="Arial"/>
        </w:rPr>
      </w:pPr>
    </w:p>
    <w:sectPr w:rsidR="00810BD8" w:rsidRPr="00AA6B3F" w:rsidSect="00DE17FB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2FBAC" w14:textId="77777777" w:rsidR="00025A79" w:rsidRDefault="00025A79" w:rsidP="0028597D">
      <w:pPr>
        <w:spacing w:after="0" w:line="240" w:lineRule="auto"/>
      </w:pPr>
      <w:r>
        <w:separator/>
      </w:r>
    </w:p>
  </w:endnote>
  <w:endnote w:type="continuationSeparator" w:id="0">
    <w:p w14:paraId="78AE6962" w14:textId="77777777" w:rsidR="00025A79" w:rsidRDefault="00025A79" w:rsidP="002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80643926"/>
      <w:docPartObj>
        <w:docPartGallery w:val="Page Numbers (Bottom of Page)"/>
        <w:docPartUnique/>
      </w:docPartObj>
    </w:sdtPr>
    <w:sdtEndPr/>
    <w:sdtContent>
      <w:p w14:paraId="20EAD53A" w14:textId="4169FD25" w:rsidR="00AA6B3F" w:rsidRDefault="00AA6B3F" w:rsidP="00AA6B3F">
        <w:pPr>
          <w:pStyle w:val="Stopka"/>
          <w:jc w:val="center"/>
        </w:pPr>
        <w:r w:rsidRPr="00AA6B3F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A6B3F">
          <w:rPr>
            <w:rFonts w:ascii="Arial" w:hAnsi="Arial" w:cs="Arial"/>
            <w:sz w:val="18"/>
            <w:szCs w:val="18"/>
          </w:rPr>
          <w:instrText>PAGE    \* MERGEFORMAT</w:instrTex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AA6B3F">
          <w:rPr>
            <w:rFonts w:ascii="Arial" w:eastAsiaTheme="majorEastAsia" w:hAnsi="Arial" w:cs="Arial"/>
            <w:sz w:val="18"/>
            <w:szCs w:val="18"/>
          </w:rPr>
          <w:t>2</w:t>
        </w:r>
        <w:r w:rsidRPr="00AA6B3F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C0E5021" w14:textId="7388B68E" w:rsidR="0028597D" w:rsidRDefault="0028597D" w:rsidP="00A755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0FC9" w14:textId="77777777" w:rsidR="00025A79" w:rsidRDefault="00025A79" w:rsidP="0028597D">
      <w:pPr>
        <w:spacing w:after="0" w:line="240" w:lineRule="auto"/>
      </w:pPr>
      <w:r>
        <w:separator/>
      </w:r>
    </w:p>
  </w:footnote>
  <w:footnote w:type="continuationSeparator" w:id="0">
    <w:p w14:paraId="2A303893" w14:textId="77777777" w:rsidR="00025A79" w:rsidRDefault="00025A79" w:rsidP="0028597D">
      <w:pPr>
        <w:spacing w:after="0" w:line="240" w:lineRule="auto"/>
      </w:pPr>
      <w:r>
        <w:continuationSeparator/>
      </w:r>
    </w:p>
  </w:footnote>
  <w:footnote w:id="1">
    <w:p w14:paraId="3199BF04" w14:textId="77777777" w:rsidR="005A5594" w:rsidRPr="00AD61BF" w:rsidRDefault="005A5594" w:rsidP="00C14B3A">
      <w:pPr>
        <w:pStyle w:val="Tekstprzypisudolnego"/>
        <w:rPr>
          <w:rFonts w:ascii="Arial" w:hAnsi="Arial" w:cs="Arial"/>
          <w:sz w:val="16"/>
          <w:szCs w:val="16"/>
        </w:rPr>
      </w:pPr>
      <w:r w:rsidRPr="00AD61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61BF">
        <w:rPr>
          <w:rFonts w:ascii="Arial" w:hAnsi="Arial" w:cs="Arial"/>
          <w:sz w:val="16"/>
          <w:szCs w:val="16"/>
        </w:rPr>
        <w:t xml:space="preserve"> Plan Zrównoważonego Rozwoju Publicznego Transportu Zbiorowego dla Województwa Pomorskiego</w:t>
      </w:r>
    </w:p>
  </w:footnote>
  <w:footnote w:id="2">
    <w:p w14:paraId="7241C7D4" w14:textId="77777777" w:rsidR="00DC1555" w:rsidRDefault="00DC15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70A9">
        <w:rPr>
          <w:rFonts w:ascii="Arial" w:hAnsi="Arial" w:cs="Arial"/>
          <w:sz w:val="16"/>
          <w:szCs w:val="16"/>
        </w:rPr>
        <w:t>Zgodnie z Regulaminem Sieci Zarządców Infrastruktury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AAB75" w14:textId="1520D6F8" w:rsidR="00AA6B3F" w:rsidRDefault="00AA6B3F" w:rsidP="00AA6B3F">
    <w:pPr>
      <w:pStyle w:val="Nagwek"/>
      <w:jc w:val="right"/>
    </w:pPr>
    <w:r>
      <w:t>Obowiązuje od 13.12.2026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1EA0BB-E302-4E93-B545-C46954C7C361}"/>
  </w:docVars>
  <w:rsids>
    <w:rsidRoot w:val="002808B1"/>
    <w:rsid w:val="00022B33"/>
    <w:rsid w:val="00022D3D"/>
    <w:rsid w:val="00025A79"/>
    <w:rsid w:val="00062929"/>
    <w:rsid w:val="000A3AD7"/>
    <w:rsid w:val="000A3F28"/>
    <w:rsid w:val="000D45D8"/>
    <w:rsid w:val="000F43BA"/>
    <w:rsid w:val="000F4576"/>
    <w:rsid w:val="001D4886"/>
    <w:rsid w:val="001D5937"/>
    <w:rsid w:val="001E77E1"/>
    <w:rsid w:val="00204BE0"/>
    <w:rsid w:val="00276739"/>
    <w:rsid w:val="002808B1"/>
    <w:rsid w:val="0028597D"/>
    <w:rsid w:val="002D766C"/>
    <w:rsid w:val="00322230"/>
    <w:rsid w:val="003437B9"/>
    <w:rsid w:val="003D3729"/>
    <w:rsid w:val="00416442"/>
    <w:rsid w:val="00447875"/>
    <w:rsid w:val="004A7320"/>
    <w:rsid w:val="004C05E4"/>
    <w:rsid w:val="00503F2A"/>
    <w:rsid w:val="00511736"/>
    <w:rsid w:val="005250CF"/>
    <w:rsid w:val="00555DA8"/>
    <w:rsid w:val="00591C68"/>
    <w:rsid w:val="005A5594"/>
    <w:rsid w:val="005C78C9"/>
    <w:rsid w:val="006020D3"/>
    <w:rsid w:val="00621030"/>
    <w:rsid w:val="00640E4A"/>
    <w:rsid w:val="006B3BA5"/>
    <w:rsid w:val="006F3835"/>
    <w:rsid w:val="007C77C9"/>
    <w:rsid w:val="007D0843"/>
    <w:rsid w:val="00806ECE"/>
    <w:rsid w:val="00810BD8"/>
    <w:rsid w:val="00870F27"/>
    <w:rsid w:val="008753BB"/>
    <w:rsid w:val="008E13F9"/>
    <w:rsid w:val="008F39BC"/>
    <w:rsid w:val="00912E52"/>
    <w:rsid w:val="00953960"/>
    <w:rsid w:val="009572A6"/>
    <w:rsid w:val="00957407"/>
    <w:rsid w:val="00974222"/>
    <w:rsid w:val="00986E50"/>
    <w:rsid w:val="009A7FDE"/>
    <w:rsid w:val="009D0E59"/>
    <w:rsid w:val="00A029A8"/>
    <w:rsid w:val="00A63771"/>
    <w:rsid w:val="00A755F1"/>
    <w:rsid w:val="00AA6B3F"/>
    <w:rsid w:val="00AD61BF"/>
    <w:rsid w:val="00B00AF3"/>
    <w:rsid w:val="00B24772"/>
    <w:rsid w:val="00BC3D9F"/>
    <w:rsid w:val="00BE08C4"/>
    <w:rsid w:val="00BE2887"/>
    <w:rsid w:val="00C14B3A"/>
    <w:rsid w:val="00C627F1"/>
    <w:rsid w:val="00CB5094"/>
    <w:rsid w:val="00D55454"/>
    <w:rsid w:val="00D62E77"/>
    <w:rsid w:val="00D770A9"/>
    <w:rsid w:val="00DC1555"/>
    <w:rsid w:val="00DE17FB"/>
    <w:rsid w:val="00DE4F77"/>
    <w:rsid w:val="00E0752C"/>
    <w:rsid w:val="00E46DE7"/>
    <w:rsid w:val="00E539C6"/>
    <w:rsid w:val="00EC3B7E"/>
    <w:rsid w:val="00EE49DB"/>
    <w:rsid w:val="00EF79B5"/>
    <w:rsid w:val="00F00550"/>
    <w:rsid w:val="00F35E8F"/>
    <w:rsid w:val="00F60735"/>
    <w:rsid w:val="00FB265F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50DF21"/>
  <w15:docId w15:val="{48BA90A1-C1F8-461F-B990-08449495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97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97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B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B3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B3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4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45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54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5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55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A0BB-E302-4E93-B545-C46954C7C36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8A48FB5-D437-48C5-82E9-1C998491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Szymański</dc:creator>
  <cp:keywords/>
  <cp:lastModifiedBy>Wontka Paweł</cp:lastModifiedBy>
  <cp:revision>12</cp:revision>
  <cp:lastPrinted>2022-11-18T11:01:00Z</cp:lastPrinted>
  <dcterms:created xsi:type="dcterms:W3CDTF">2024-09-18T11:12:00Z</dcterms:created>
  <dcterms:modified xsi:type="dcterms:W3CDTF">2025-08-01T07:21:00Z</dcterms:modified>
</cp:coreProperties>
</file>